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Este es el estado de las acreditaciones: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95"/>
        <w:gridCol w:w="1905"/>
        <w:gridCol w:w="3000"/>
        <w:tblGridChange w:id="0">
          <w:tblGrid>
            <w:gridCol w:w="4095"/>
            <w:gridCol w:w="1905"/>
            <w:gridCol w:w="30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Título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Acreditado hasta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 iniciará la renovación en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Eléctrica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17/09/2026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2025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Electrónica Industrial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18/07/2029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2028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en Organización Industrial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18/07/2029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2028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Geomática y Topográfica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18/07/2029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2028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Mecánica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17/09/2026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2025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Informática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18/07/2029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2028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Máster Ingeniería Industrial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27/07/2028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2027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Máster Ingeniería Informática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27/07/2028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2027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Máster Ingeniería Mecatrónica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22/07/2027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2026</w:t>
            </w:r>
          </w:p>
        </w:tc>
      </w:tr>
      <w:tr>
        <w:trPr>
          <w:cantSplit w:val="0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Máster Seguridad Informática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22/07/2027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2026</w:t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IMPORTANTE: las titulaciones que también se imparten en Linares tienen renovación automática por acreditación institucional (la EPSL la tiene, y el ministerio no distingue entre centros de la misma universidad).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En cuanto al estado de los sellos de calidad, este es el resumen: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787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375"/>
        <w:gridCol w:w="1500"/>
        <w:gridCol w:w="1500"/>
        <w:gridCol w:w="1500"/>
        <w:tblGridChange w:id="0">
          <w:tblGrid>
            <w:gridCol w:w="3375"/>
            <w:gridCol w:w="1500"/>
            <w:gridCol w:w="1500"/>
            <w:gridCol w:w="150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Título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Sello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Desde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Hasta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Eléctrica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EurACE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10/01/2020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10/01/2026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Electrónica Industrial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EurACE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12/04/2019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13/04/2025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en Organización Industrial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EurACE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10/01/2020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10/01/2026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Geomática y Topográfica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EurACE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28/01/2021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27/01/2027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Mecánica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EurACE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10/01/2020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10/01/2026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Ingeniería Informática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EuroInf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01/02/2019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01/02/2025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ff00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rPr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color w:val="ffffff"/>
                <w:sz w:val="20"/>
                <w:szCs w:val="20"/>
                <w:rtl w:val="0"/>
              </w:rPr>
              <w:t xml:space="preserve">Máster Ingeniería Industrial</w:t>
            </w:r>
          </w:p>
        </w:tc>
        <w:tc>
          <w:tcPr>
            <w:shd w:fill="ff00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rPr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color w:val="ffffff"/>
                <w:sz w:val="20"/>
                <w:szCs w:val="20"/>
                <w:rtl w:val="0"/>
              </w:rPr>
              <w:t xml:space="preserve">EurACE</w:t>
            </w:r>
          </w:p>
        </w:tc>
        <w:tc>
          <w:tcPr>
            <w:shd w:fill="ff00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jc w:val="right"/>
              <w:rPr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color w:val="ffffff"/>
                <w:sz w:val="20"/>
                <w:szCs w:val="20"/>
                <w:rtl w:val="0"/>
              </w:rPr>
              <w:t xml:space="preserve">28/01/2021</w:t>
            </w:r>
          </w:p>
        </w:tc>
        <w:tc>
          <w:tcPr>
            <w:shd w:fill="ff0000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jc w:val="right"/>
              <w:rPr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color w:val="ffffff"/>
                <w:sz w:val="20"/>
                <w:szCs w:val="20"/>
                <w:rtl w:val="0"/>
              </w:rPr>
              <w:t xml:space="preserve">27/01/2024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Máster Ingeniería Informática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EuroInf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28/01/2021</w:t>
            </w:r>
          </w:p>
        </w:tc>
        <w:tc>
          <w:tcPr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jc w:val="righ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27/01/2027</w:t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La información para la renovación del sello EurACE está enviada, pero el proceso está parado por el conflicto ANECA/Instituto de Ingeniería de España.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